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633"/>
        <w:gridCol w:w="5225"/>
      </w:tblGrid>
      <w:tr w:rsidR="00553CCE" w:rsidRPr="00C62AC6" w14:paraId="7266DE9F" w14:textId="77777777" w:rsidTr="00EE4714">
        <w:trPr>
          <w:trHeight w:val="1016"/>
        </w:trPr>
        <w:tc>
          <w:tcPr>
            <w:tcW w:w="3633" w:type="dxa"/>
            <w:tcBorders>
              <w:top w:val="single" w:sz="12" w:space="0" w:color="auto"/>
              <w:bottom w:val="single" w:sz="12" w:space="0" w:color="auto"/>
            </w:tcBorders>
          </w:tcPr>
          <w:p w14:paraId="6E8389DD" w14:textId="2F1E3478" w:rsidR="00553CCE" w:rsidRPr="00C62AC6" w:rsidRDefault="00C62AC6" w:rsidP="00553CCE">
            <w:pPr>
              <w:spacing w:before="60" w:after="60"/>
              <w:jc w:val="left"/>
              <w:rPr>
                <w:rFonts w:ascii="Sylfaen" w:hAnsi="Sylfaen" w:cs="Arial"/>
                <w:b/>
                <w:szCs w:val="20"/>
                <w:lang w:val="en-US"/>
              </w:rPr>
            </w:pPr>
            <w:r w:rsidRPr="00C62AC6">
              <w:rPr>
                <w:rFonts w:ascii="Sylfaen" w:hAnsi="Sylfaen" w:cs="Arial"/>
                <w:b/>
                <w:szCs w:val="20"/>
                <w:lang w:val="ka-GE"/>
              </w:rPr>
              <w:t>საკონსულტაციო მომსახურება</w:t>
            </w:r>
            <w:r w:rsidR="00553CCE" w:rsidRPr="00C62AC6">
              <w:rPr>
                <w:rFonts w:ascii="Sylfaen" w:hAnsi="Sylfaen" w:cs="Arial"/>
                <w:b/>
                <w:szCs w:val="20"/>
                <w:lang w:val="en-US"/>
              </w:rPr>
              <w:br/>
            </w:r>
            <w:r w:rsidRPr="00C62AC6">
              <w:rPr>
                <w:rFonts w:ascii="Sylfaen" w:hAnsi="Sylfaen" w:cs="Arial"/>
                <w:b/>
                <w:szCs w:val="20"/>
                <w:lang w:val="ka-GE"/>
              </w:rPr>
              <w:t>ენერგეტიკის სექტორისათვის</w:t>
            </w:r>
          </w:p>
        </w:tc>
        <w:tc>
          <w:tcPr>
            <w:tcW w:w="5225" w:type="dxa"/>
            <w:tcBorders>
              <w:top w:val="single" w:sz="12" w:space="0" w:color="auto"/>
              <w:bottom w:val="single" w:sz="12" w:space="0" w:color="auto"/>
            </w:tcBorders>
          </w:tcPr>
          <w:p w14:paraId="474CC584" w14:textId="271ED535" w:rsidR="00553CCE" w:rsidRPr="00A7220B" w:rsidRDefault="00C62AC6" w:rsidP="00553CCE">
            <w:pPr>
              <w:spacing w:before="60" w:after="60"/>
              <w:rPr>
                <w:rFonts w:ascii="Sylfaen" w:eastAsia="Times New Roman" w:hAnsi="Sylfaen" w:cs="Arial"/>
                <w:b/>
                <w:color w:val="FF0000"/>
                <w:lang w:val="ka-GE"/>
              </w:rPr>
            </w:pPr>
            <w:r w:rsidRPr="00C62AC6">
              <w:rPr>
                <w:rFonts w:ascii="Sylfaen" w:eastAsia="Times New Roman" w:hAnsi="Sylfaen" w:cs="Arial"/>
                <w:b/>
                <w:lang w:val="ka-GE"/>
              </w:rPr>
              <w:t>წარმოდეგნის ბოლო ვ</w:t>
            </w:r>
            <w:r w:rsidRPr="00A7220B">
              <w:rPr>
                <w:rFonts w:ascii="Sylfaen" w:eastAsia="Times New Roman" w:hAnsi="Sylfaen" w:cs="Arial"/>
                <w:b/>
                <w:lang w:val="ka-GE"/>
              </w:rPr>
              <w:t>ადა</w:t>
            </w:r>
            <w:r w:rsidR="00553CCE" w:rsidRPr="00A7220B">
              <w:rPr>
                <w:rFonts w:ascii="Sylfaen" w:eastAsia="Times New Roman" w:hAnsi="Sylfaen" w:cs="Arial"/>
                <w:b/>
                <w:lang w:val="en-US"/>
              </w:rPr>
              <w:t xml:space="preserve">: </w:t>
            </w:r>
            <w:r w:rsidR="00A7220B" w:rsidRPr="00A7220B">
              <w:rPr>
                <w:rFonts w:ascii="Sylfaen" w:eastAsia="Times New Roman" w:hAnsi="Sylfaen" w:cs="Arial"/>
                <w:b/>
                <w:lang w:val="ka-GE"/>
              </w:rPr>
              <w:t>პარასკევი, 1 მარტი, 2019</w:t>
            </w:r>
          </w:p>
          <w:p w14:paraId="674237E3" w14:textId="2976EE21" w:rsidR="00553CCE" w:rsidRPr="00C62AC6" w:rsidRDefault="00C62AC6" w:rsidP="00553CCE">
            <w:pPr>
              <w:spacing w:before="60" w:after="60"/>
              <w:jc w:val="left"/>
              <w:rPr>
                <w:rFonts w:ascii="Sylfaen" w:hAnsi="Sylfaen" w:cs="Arial"/>
                <w:b/>
                <w:szCs w:val="20"/>
                <w:lang w:val="en-US"/>
              </w:rPr>
            </w:pPr>
            <w:r w:rsidRPr="00C62AC6">
              <w:rPr>
                <w:rFonts w:ascii="Sylfaen" w:hAnsi="Sylfaen" w:cs="Arial"/>
                <w:b/>
                <w:szCs w:val="20"/>
                <w:lang w:val="ka-GE"/>
              </w:rPr>
              <w:t>12</w:t>
            </w:r>
            <w:r w:rsidR="00A7220B">
              <w:rPr>
                <w:rFonts w:ascii="Sylfaen" w:hAnsi="Sylfaen" w:cs="Arial"/>
                <w:b/>
                <w:szCs w:val="20"/>
                <w:lang w:val="ka-GE"/>
              </w:rPr>
              <w:t xml:space="preserve">:00 </w:t>
            </w:r>
            <w:r w:rsidRPr="00C62AC6">
              <w:rPr>
                <w:rFonts w:ascii="Sylfaen" w:hAnsi="Sylfaen" w:cs="Arial"/>
                <w:b/>
                <w:szCs w:val="20"/>
                <w:lang w:val="ka-GE"/>
              </w:rPr>
              <w:t xml:space="preserve"> სა</w:t>
            </w:r>
            <w:r w:rsidR="00A7220B">
              <w:rPr>
                <w:rFonts w:ascii="Sylfaen" w:hAnsi="Sylfaen" w:cs="Arial"/>
                <w:b/>
                <w:szCs w:val="20"/>
                <w:lang w:val="ka-GE"/>
              </w:rPr>
              <w:t>ა</w:t>
            </w:r>
            <w:r w:rsidRPr="00C62AC6">
              <w:rPr>
                <w:rFonts w:ascii="Sylfaen" w:hAnsi="Sylfaen" w:cs="Arial"/>
                <w:b/>
                <w:szCs w:val="20"/>
                <w:lang w:val="ka-GE"/>
              </w:rPr>
              <w:t>თი (გერმანული დროით)</w:t>
            </w:r>
          </w:p>
        </w:tc>
      </w:tr>
    </w:tbl>
    <w:p w14:paraId="6F776DD3" w14:textId="25A4DB36" w:rsidR="006F4256" w:rsidRPr="00C62AC6" w:rsidRDefault="00C62AC6" w:rsidP="006F4256">
      <w:pPr>
        <w:ind w:right="3082"/>
        <w:rPr>
          <w:rFonts w:ascii="Sylfaen" w:hAnsi="Sylfaen" w:cs="Arial"/>
          <w:b/>
          <w:lang w:val="en-US"/>
        </w:rPr>
      </w:pPr>
      <w:proofErr w:type="spellStart"/>
      <w:proofErr w:type="gramStart"/>
      <w:r w:rsidRPr="00C62AC6">
        <w:rPr>
          <w:rFonts w:ascii="Sylfaen" w:hAnsi="Sylfaen" w:cs="Arial"/>
          <w:b/>
          <w:lang w:val="en-US"/>
        </w:rPr>
        <w:t>ქვეყანა</w:t>
      </w:r>
      <w:proofErr w:type="spellEnd"/>
      <w:proofErr w:type="gramEnd"/>
      <w:r w:rsidR="006F4256" w:rsidRPr="00C62AC6">
        <w:rPr>
          <w:rFonts w:ascii="Sylfaen" w:hAnsi="Sylfaen" w:cs="Arial"/>
          <w:b/>
          <w:lang w:val="en-US"/>
        </w:rPr>
        <w:t xml:space="preserve">: </w:t>
      </w:r>
      <w:proofErr w:type="spellStart"/>
      <w:r w:rsidRPr="00C62AC6">
        <w:rPr>
          <w:rFonts w:ascii="Sylfaen" w:hAnsi="Sylfaen" w:cs="Arial"/>
          <w:lang w:val="en-US"/>
        </w:rPr>
        <w:t>საქართველო</w:t>
      </w:r>
      <w:proofErr w:type="spellEnd"/>
    </w:p>
    <w:p w14:paraId="53BD1F6D" w14:textId="001D6CBB" w:rsidR="00092DF6" w:rsidRPr="00C62AC6" w:rsidRDefault="006F4256" w:rsidP="000E72E0">
      <w:pPr>
        <w:ind w:left="284" w:right="2543" w:hanging="284"/>
        <w:rPr>
          <w:rFonts w:ascii="Sylfaen" w:hAnsi="Sylfaen"/>
          <w:lang w:val="en-GB"/>
        </w:rPr>
      </w:pPr>
      <w:r w:rsidRPr="00C62AC6">
        <w:rPr>
          <w:rFonts w:ascii="Sylfaen" w:eastAsia="Times New Roman" w:hAnsi="Sylfaen" w:cs="Arial"/>
          <w:b/>
          <w:lang w:val="en-GB"/>
        </w:rPr>
        <w:t>Ref</w:t>
      </w:r>
      <w:r w:rsidRPr="00C62AC6">
        <w:rPr>
          <w:rFonts w:ascii="Sylfaen" w:hAnsi="Sylfaen" w:cs="Arial"/>
          <w:b/>
          <w:lang w:val="en-US"/>
        </w:rPr>
        <w:t xml:space="preserve">-N°: </w:t>
      </w:r>
      <w:r w:rsidR="00A849F4" w:rsidRPr="00C62AC6">
        <w:rPr>
          <w:rFonts w:ascii="Sylfaen" w:hAnsi="Sylfaen"/>
          <w:lang w:val="en-US"/>
        </w:rPr>
        <w:t>BMZ No. 2017 68 696</w:t>
      </w:r>
    </w:p>
    <w:p w14:paraId="196B8878" w14:textId="520E0E36" w:rsidR="006F4256" w:rsidRPr="00C62AC6" w:rsidRDefault="00C62AC6" w:rsidP="00092DF6">
      <w:pPr>
        <w:ind w:right="3402"/>
        <w:rPr>
          <w:rFonts w:ascii="Sylfaen" w:hAnsi="Sylfaen" w:cs="Arial"/>
          <w:b/>
          <w:lang w:val="en-GB"/>
        </w:rPr>
      </w:pPr>
      <w:r>
        <w:rPr>
          <w:rFonts w:ascii="Sylfaen" w:hAnsi="Sylfaen" w:cs="Arial"/>
          <w:b/>
          <w:lang w:val="ka-GE"/>
        </w:rPr>
        <w:t>წინასაკვალიფიკაციო შერჩევა</w:t>
      </w:r>
      <w:r w:rsidR="009A179F" w:rsidRPr="00C62AC6">
        <w:rPr>
          <w:rFonts w:ascii="Sylfaen" w:hAnsi="Sylfaen" w:cs="Arial"/>
          <w:b/>
          <w:lang w:val="en-US"/>
        </w:rPr>
        <w:t xml:space="preserve"> </w:t>
      </w:r>
      <w:r w:rsidR="006F4256" w:rsidRPr="00C62AC6">
        <w:rPr>
          <w:rFonts w:ascii="Sylfaen" w:hAnsi="Sylfaen"/>
          <w:b/>
          <w:lang w:val="en-US"/>
        </w:rPr>
        <w:t>Ref.:</w:t>
      </w:r>
      <w:r w:rsidR="006F4256" w:rsidRPr="00C62AC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ენერგოეფექტურობის ღონისძიებები და ევროკავშირის ენერგოეფექტურობის სტანდარტებთან მიახლოვება შენობებში </w:t>
      </w:r>
    </w:p>
    <w:p w14:paraId="54AFDB90" w14:textId="2ED8595C" w:rsidR="00A849F4" w:rsidRPr="00C62AC6" w:rsidRDefault="00C62AC6" w:rsidP="00A849F4">
      <w:pPr>
        <w:tabs>
          <w:tab w:val="left" w:pos="9064"/>
        </w:tabs>
        <w:ind w:right="2827"/>
        <w:rPr>
          <w:rFonts w:ascii="Sylfaen" w:hAnsi="Sylfaen" w:cs="Arial"/>
          <w:szCs w:val="22"/>
          <w:lang w:val="en-GB"/>
        </w:rPr>
      </w:pPr>
      <w:proofErr w:type="spellStart"/>
      <w:proofErr w:type="gramStart"/>
      <w:r>
        <w:rPr>
          <w:rFonts w:ascii="Sylfaen" w:hAnsi="Sylfaen" w:cs="Arial"/>
          <w:b/>
          <w:lang w:val="en-US"/>
        </w:rPr>
        <w:t>პროექტის</w:t>
      </w:r>
      <w:proofErr w:type="spellEnd"/>
      <w:proofErr w:type="gramEnd"/>
      <w:r>
        <w:rPr>
          <w:rFonts w:ascii="Sylfaen" w:hAnsi="Sylfaen" w:cs="Arial"/>
          <w:b/>
          <w:lang w:val="en-US"/>
        </w:rPr>
        <w:t xml:space="preserve"> </w:t>
      </w:r>
      <w:proofErr w:type="spellStart"/>
      <w:r>
        <w:rPr>
          <w:rFonts w:ascii="Sylfaen" w:hAnsi="Sylfaen" w:cs="Arial"/>
          <w:b/>
          <w:lang w:val="en-US"/>
        </w:rPr>
        <w:t>აღმასრულებელი</w:t>
      </w:r>
      <w:proofErr w:type="spellEnd"/>
      <w:r>
        <w:rPr>
          <w:rFonts w:ascii="Sylfaen" w:hAnsi="Sylfaen" w:cs="Arial"/>
          <w:b/>
          <w:lang w:val="en-US"/>
        </w:rPr>
        <w:t xml:space="preserve"> </w:t>
      </w:r>
      <w:proofErr w:type="spellStart"/>
      <w:r>
        <w:rPr>
          <w:rFonts w:ascii="Sylfaen" w:hAnsi="Sylfaen" w:cs="Arial"/>
          <w:b/>
          <w:lang w:val="en-US"/>
        </w:rPr>
        <w:t>სააგენტო</w:t>
      </w:r>
      <w:proofErr w:type="spellEnd"/>
      <w:r w:rsidR="006F4256" w:rsidRPr="00C62AC6">
        <w:rPr>
          <w:rFonts w:ascii="Sylfaen" w:hAnsi="Sylfaen" w:cs="Arial"/>
          <w:b/>
          <w:lang w:val="en-US"/>
        </w:rPr>
        <w:t>:</w:t>
      </w:r>
      <w:r w:rsidR="00D9153F" w:rsidRPr="00C62AC6"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  <w:szCs w:val="22"/>
          <w:lang w:val="en-GB"/>
        </w:rPr>
        <w:t>ბათუმის</w:t>
      </w:r>
      <w:proofErr w:type="spellEnd"/>
      <w:r>
        <w:rPr>
          <w:rFonts w:ascii="Sylfaen" w:hAnsi="Sylfaen" w:cs="Arial"/>
          <w:szCs w:val="22"/>
          <w:lang w:val="en-GB"/>
        </w:rPr>
        <w:t xml:space="preserve"> </w:t>
      </w:r>
      <w:proofErr w:type="spellStart"/>
      <w:r>
        <w:rPr>
          <w:rFonts w:ascii="Sylfaen" w:hAnsi="Sylfaen" w:cs="Arial"/>
          <w:szCs w:val="22"/>
          <w:lang w:val="en-GB"/>
        </w:rPr>
        <w:t>მუნიციპალიტეტი</w:t>
      </w:r>
      <w:proofErr w:type="spellEnd"/>
    </w:p>
    <w:p w14:paraId="69C1D10B" w14:textId="47185A8D" w:rsidR="00C62AC6" w:rsidRDefault="00C62AC6" w:rsidP="00A849F4">
      <w:pPr>
        <w:tabs>
          <w:tab w:val="left" w:pos="9064"/>
        </w:tabs>
        <w:ind w:right="2827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/>
          <w:b/>
          <w:lang w:val="en-US"/>
        </w:rPr>
        <w:t>პროექტის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ღონისძიებები</w:t>
      </w:r>
      <w:proofErr w:type="spellEnd"/>
      <w:r w:rsidR="006F4256" w:rsidRPr="00C62AC6">
        <w:rPr>
          <w:rFonts w:ascii="Sylfaen" w:hAnsi="Sylfaen"/>
          <w:b/>
          <w:lang w:val="en-US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Pr="00C62AC6">
        <w:rPr>
          <w:rFonts w:ascii="Sylfaen" w:hAnsi="Sylfaen"/>
          <w:lang w:val="ka-GE"/>
        </w:rPr>
        <w:t xml:space="preserve">პროექტის მიზანია ენერგოეფექტურობის გაუმჯობესება შერჩეულ საზოგადოებრივი დანიშნულების შენობებში და ამ შენობების მოსარგებლეთათვის კომფორტისა და შესაბამისად კმაყოფილების დონის გაუმჯობესება. </w:t>
      </w:r>
      <w:r w:rsidR="006F4256" w:rsidRPr="00C62AC6">
        <w:rPr>
          <w:rFonts w:ascii="Sylfaen" w:hAnsi="Sylfaen"/>
          <w:lang w:val="en-US"/>
        </w:rPr>
        <w:t xml:space="preserve"> </w:t>
      </w:r>
      <w:r w:rsidRPr="00C62AC6">
        <w:rPr>
          <w:rFonts w:ascii="Sylfaen" w:hAnsi="Sylfaen"/>
          <w:lang w:val="ka-GE"/>
        </w:rPr>
        <w:t>საზოგადოებრივი შენობების ენერგოეფექტურად გარდაქმნის</w:t>
      </w:r>
      <w:r>
        <w:rPr>
          <w:rFonts w:ascii="Sylfaen" w:hAnsi="Sylfaen"/>
          <w:lang w:val="ka-GE"/>
        </w:rPr>
        <w:t xml:space="preserve"> საშუალებით შენობის მოსარგებლეებისათვის გაუმჯობესდება სასწავლო და სამუშაო გარემო, ასევე </w:t>
      </w:r>
      <w:r w:rsidR="00A7220B">
        <w:rPr>
          <w:rFonts w:ascii="Sylfaen" w:hAnsi="Sylfaen"/>
          <w:lang w:val="ka-GE"/>
        </w:rPr>
        <w:t xml:space="preserve">სამომავლოდ, </w:t>
      </w:r>
      <w:r>
        <w:rPr>
          <w:rFonts w:ascii="Sylfaen" w:hAnsi="Sylfaen"/>
          <w:lang w:val="ka-GE"/>
        </w:rPr>
        <w:t xml:space="preserve">ენერგიის დაზოგვა შეიტანს წვლილს სათბურის აირების გაფრქვევის შემცირებაში. </w:t>
      </w:r>
    </w:p>
    <w:p w14:paraId="58DD1480" w14:textId="77777777" w:rsidR="00301BB9" w:rsidRPr="00301BB9" w:rsidRDefault="00C62AC6" w:rsidP="00B8297B">
      <w:pPr>
        <w:ind w:right="2827"/>
        <w:rPr>
          <w:rFonts w:ascii="Sylfaen" w:hAnsi="Sylfaen"/>
          <w:b/>
          <w:lang w:val="en-US"/>
        </w:rPr>
      </w:pPr>
      <w:r w:rsidRPr="00301BB9">
        <w:rPr>
          <w:rFonts w:ascii="Sylfaen" w:hAnsi="Sylfaen"/>
          <w:b/>
          <w:lang w:val="ka-GE"/>
        </w:rPr>
        <w:t>საკონსულტაციო მომსახურება</w:t>
      </w:r>
      <w:r w:rsidR="00301BB9" w:rsidRPr="00301BB9">
        <w:rPr>
          <w:rFonts w:ascii="Sylfaen" w:hAnsi="Sylfaen"/>
          <w:b/>
          <w:lang w:val="en-US"/>
        </w:rPr>
        <w:t>:</w:t>
      </w:r>
    </w:p>
    <w:p w14:paraId="6BECE99E" w14:textId="77777777" w:rsidR="00A7220B" w:rsidRDefault="00301BB9" w:rsidP="00B8297B">
      <w:pPr>
        <w:ind w:right="2827"/>
        <w:rPr>
          <w:rFonts w:ascii="Sylfaen" w:hAnsi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 xml:space="preserve">პროექტის </w:t>
      </w:r>
      <w:r w:rsidR="00A7220B">
        <w:rPr>
          <w:rFonts w:ascii="Sylfaen" w:hAnsi="Sylfaen"/>
          <w:szCs w:val="22"/>
          <w:lang w:val="ka-GE"/>
        </w:rPr>
        <w:t>ფარგლებში</w:t>
      </w:r>
      <w:r w:rsidR="00834135">
        <w:rPr>
          <w:rFonts w:ascii="Sylfaen" w:hAnsi="Sylfaen"/>
          <w:szCs w:val="22"/>
          <w:lang w:val="ka-GE"/>
        </w:rPr>
        <w:t xml:space="preserve"> დაფინანსდება</w:t>
      </w:r>
      <w:r w:rsidR="00A7220B">
        <w:rPr>
          <w:rFonts w:ascii="Sylfaen" w:hAnsi="Sylfaen"/>
          <w:szCs w:val="22"/>
          <w:lang w:val="ka-GE"/>
        </w:rPr>
        <w:t xml:space="preserve"> </w:t>
      </w:r>
      <w:r w:rsidR="00A7220B">
        <w:rPr>
          <w:rFonts w:ascii="Sylfaen" w:hAnsi="Sylfaen"/>
          <w:szCs w:val="22"/>
          <w:lang w:val="ka-GE"/>
        </w:rPr>
        <w:t>შერჩეული</w:t>
      </w:r>
      <w:r>
        <w:rPr>
          <w:rFonts w:ascii="Sylfaen" w:hAnsi="Sylfaen"/>
          <w:szCs w:val="22"/>
          <w:lang w:val="ka-GE"/>
        </w:rPr>
        <w:t xml:space="preserve"> </w:t>
      </w:r>
      <w:r w:rsidR="00834135">
        <w:rPr>
          <w:rFonts w:ascii="Sylfaen" w:hAnsi="Sylfaen"/>
          <w:szCs w:val="22"/>
          <w:lang w:val="ka-GE"/>
        </w:rPr>
        <w:t>25-მდე საზოგადოებრივი დანიშნულების შენობის რეაბილიტაცია. პროექტის ფარგლებში განსაკუთრებულ</w:t>
      </w:r>
      <w:r w:rsidR="00A7220B">
        <w:rPr>
          <w:rFonts w:ascii="Sylfaen" w:hAnsi="Sylfaen"/>
          <w:szCs w:val="22"/>
          <w:lang w:val="ka-GE"/>
        </w:rPr>
        <w:t>ი მნიშვნელობა აქვს</w:t>
      </w:r>
      <w:r w:rsidR="00834135">
        <w:rPr>
          <w:rFonts w:ascii="Sylfaen" w:hAnsi="Sylfaen"/>
          <w:szCs w:val="22"/>
          <w:lang w:val="ka-GE"/>
        </w:rPr>
        <w:t xml:space="preserve"> მუნიციპალიტეტის სოციალური ინფრასტრუქტურა</w:t>
      </w:r>
      <w:r w:rsidR="00A7220B">
        <w:rPr>
          <w:rFonts w:ascii="Sylfaen" w:hAnsi="Sylfaen"/>
          <w:szCs w:val="22"/>
          <w:lang w:val="ka-GE"/>
        </w:rPr>
        <w:t xml:space="preserve">ს, </w:t>
      </w:r>
      <w:r w:rsidR="00834135">
        <w:rPr>
          <w:rFonts w:ascii="Sylfaen" w:hAnsi="Sylfaen"/>
          <w:szCs w:val="22"/>
          <w:lang w:val="ka-GE"/>
        </w:rPr>
        <w:t xml:space="preserve"> აქედან გამომდინარე, პროექტისათვის, საზოგადოებრივი დანიშნულების შენობების დიდი ნაწილი წარმოდგენილი იქნება საბავშვო ბაღების სახით. </w:t>
      </w:r>
      <w:r w:rsidR="00D22DF5">
        <w:rPr>
          <w:rFonts w:ascii="Sylfaen" w:hAnsi="Sylfaen"/>
          <w:szCs w:val="22"/>
          <w:lang w:val="ka-GE"/>
        </w:rPr>
        <w:t xml:space="preserve">რეაბილიტაციისას </w:t>
      </w:r>
      <w:r w:rsidR="000139BF">
        <w:rPr>
          <w:rFonts w:ascii="Sylfaen" w:hAnsi="Sylfaen"/>
          <w:szCs w:val="22"/>
          <w:lang w:val="ka-GE"/>
        </w:rPr>
        <w:t xml:space="preserve">მთავარი აქცენტი </w:t>
      </w:r>
      <w:r w:rsidR="00A7220B">
        <w:rPr>
          <w:rFonts w:ascii="Sylfaen" w:hAnsi="Sylfaen"/>
          <w:szCs w:val="22"/>
          <w:lang w:val="ka-GE"/>
        </w:rPr>
        <w:t>უნდა გაკეთდეს</w:t>
      </w:r>
      <w:r w:rsidR="000139BF">
        <w:rPr>
          <w:rFonts w:ascii="Sylfaen" w:hAnsi="Sylfaen"/>
          <w:szCs w:val="22"/>
          <w:lang w:val="ka-GE"/>
        </w:rPr>
        <w:t xml:space="preserve"> ენერგოეფექტურ ღონისძიებებზე ისევე როგორც აუცილებელ სტრუქტურულ და კომფორტის</w:t>
      </w:r>
      <w:r w:rsidR="00A7220B">
        <w:rPr>
          <w:rFonts w:ascii="Sylfaen" w:hAnsi="Sylfaen"/>
          <w:szCs w:val="22"/>
          <w:lang w:val="ka-GE"/>
        </w:rPr>
        <w:t xml:space="preserve"> გაუმჯობესების</w:t>
      </w:r>
      <w:r w:rsidR="000139BF">
        <w:rPr>
          <w:rFonts w:ascii="Sylfaen" w:hAnsi="Sylfaen"/>
          <w:szCs w:val="22"/>
          <w:lang w:val="ka-GE"/>
        </w:rPr>
        <w:t xml:space="preserve"> ღონისძებებზე</w:t>
      </w:r>
      <w:r w:rsidR="00A7220B">
        <w:rPr>
          <w:rFonts w:ascii="Sylfaen" w:hAnsi="Sylfaen"/>
          <w:szCs w:val="22"/>
          <w:lang w:val="ka-GE"/>
        </w:rPr>
        <w:t>.</w:t>
      </w:r>
      <w:r w:rsidR="000139BF">
        <w:rPr>
          <w:rFonts w:ascii="Sylfaen" w:hAnsi="Sylfaen"/>
          <w:szCs w:val="22"/>
          <w:lang w:val="ka-GE"/>
        </w:rPr>
        <w:t xml:space="preserve"> </w:t>
      </w:r>
      <w:r w:rsidR="00A7220B">
        <w:rPr>
          <w:rFonts w:ascii="Sylfaen" w:hAnsi="Sylfaen"/>
          <w:szCs w:val="22"/>
          <w:lang w:val="ka-GE"/>
        </w:rPr>
        <w:t xml:space="preserve">შერჩეული შენობების </w:t>
      </w:r>
      <w:r w:rsidR="000139BF">
        <w:rPr>
          <w:rFonts w:ascii="Sylfaen" w:hAnsi="Sylfaen"/>
          <w:szCs w:val="22"/>
          <w:lang w:val="ka-GE"/>
        </w:rPr>
        <w:t>რეაბილიტაციის პროცესში</w:t>
      </w:r>
      <w:r w:rsidR="00D22DF5">
        <w:rPr>
          <w:rFonts w:ascii="Sylfaen" w:hAnsi="Sylfaen"/>
          <w:szCs w:val="22"/>
          <w:lang w:val="ka-GE"/>
        </w:rPr>
        <w:t xml:space="preserve">, </w:t>
      </w:r>
      <w:r w:rsidR="00A7220B">
        <w:rPr>
          <w:rFonts w:ascii="Sylfaen" w:hAnsi="Sylfaen"/>
          <w:szCs w:val="22"/>
          <w:lang w:val="ka-GE"/>
        </w:rPr>
        <w:t>გამოყენებული უნდა იქნეს მაღალტექნოლოგიური, ევროკავშირის სტანარტების შესაბამისი ენერგოეფექტურობის სტანდარტები.</w:t>
      </w:r>
    </w:p>
    <w:p w14:paraId="22106F0C" w14:textId="687D7FF6" w:rsidR="00C57577" w:rsidRDefault="00D22DF5" w:rsidP="00B8297B">
      <w:pPr>
        <w:ind w:right="2827"/>
        <w:rPr>
          <w:rFonts w:ascii="Sylfaen" w:hAnsi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 xml:space="preserve">განმახორციელებელმა კონსულტანტმა უნდა უზრუნველყოს ბათუმის მუნიციპალიტეტის დამხარება ღონისძებების დაგეგმვის, ზედამხედველობისა და განხორციელების ეტაპებზე 48  თვის განმავლობაში (საწყისი თარიღი 2019 წლის </w:t>
      </w:r>
      <w:r w:rsidR="00D97A4F">
        <w:rPr>
          <w:rFonts w:ascii="Sylfaen" w:hAnsi="Sylfaen"/>
          <w:szCs w:val="22"/>
          <w:lang w:val="ka-GE"/>
        </w:rPr>
        <w:t>ივნისი</w:t>
      </w:r>
      <w:r>
        <w:rPr>
          <w:rFonts w:ascii="Sylfaen" w:hAnsi="Sylfaen"/>
          <w:szCs w:val="22"/>
          <w:lang w:val="ka-GE"/>
        </w:rPr>
        <w:t>). განხორციელების</w:t>
      </w:r>
      <w:r w:rsidR="00D97A4F">
        <w:rPr>
          <w:rFonts w:ascii="Sylfaen" w:hAnsi="Sylfaen"/>
          <w:szCs w:val="22"/>
          <w:lang w:val="ka-GE"/>
        </w:rPr>
        <w:t xml:space="preserve"> პროცესში ტექნიკური დახმარების </w:t>
      </w:r>
      <w:r w:rsidR="00D97A4F">
        <w:rPr>
          <w:rFonts w:ascii="Sylfaen" w:hAnsi="Sylfaen"/>
          <w:szCs w:val="22"/>
          <w:lang w:val="ka-GE"/>
        </w:rPr>
        <w:lastRenderedPageBreak/>
        <w:t xml:space="preserve">გარდა, </w:t>
      </w:r>
      <w:r>
        <w:rPr>
          <w:rFonts w:ascii="Sylfaen" w:hAnsi="Sylfaen"/>
          <w:szCs w:val="22"/>
          <w:lang w:val="ka-GE"/>
        </w:rPr>
        <w:t xml:space="preserve"> კონსულტანტმა ასევე უნდა უზრუნველყოს შენობების ენერგოეფექტურად გარდაქმნის პროცესში დაგროვილი პრაქტიკული გამოცილების ურთიერთგაცვლა ეროვნულ დონეზე. </w:t>
      </w:r>
      <w:r w:rsidR="00C57577">
        <w:rPr>
          <w:rFonts w:ascii="Sylfaen" w:hAnsi="Sylfaen"/>
          <w:szCs w:val="22"/>
          <w:lang w:val="ka-GE"/>
        </w:rPr>
        <w:t xml:space="preserve">დაინტერესებული მხარეები </w:t>
      </w:r>
      <w:r w:rsidR="00D97A4F">
        <w:rPr>
          <w:rFonts w:ascii="Sylfaen" w:hAnsi="Sylfaen"/>
          <w:szCs w:val="22"/>
          <w:lang w:val="ka-GE"/>
        </w:rPr>
        <w:t xml:space="preserve">ეროვნულ დონეზე წარმოადგენენ სამუშაო ჯგუფის წევრებს </w:t>
      </w:r>
      <w:r w:rsidR="00C57577">
        <w:rPr>
          <w:rFonts w:ascii="Sylfaen" w:hAnsi="Sylfaen"/>
          <w:szCs w:val="22"/>
          <w:lang w:val="ka-GE"/>
        </w:rPr>
        <w:t>(</w:t>
      </w:r>
      <w:r w:rsidR="00C57577">
        <w:rPr>
          <w:rFonts w:ascii="Sylfaen" w:hAnsi="Sylfaen"/>
          <w:szCs w:val="22"/>
          <w:lang w:val="en-US"/>
        </w:rPr>
        <w:t>NWG)</w:t>
      </w:r>
      <w:r w:rsidR="00D97A4F">
        <w:rPr>
          <w:rFonts w:ascii="Sylfaen" w:hAnsi="Sylfaen"/>
          <w:szCs w:val="22"/>
          <w:lang w:val="ka-GE"/>
        </w:rPr>
        <w:t>. აღნიშნული ჯგუფი</w:t>
      </w:r>
      <w:r w:rsidR="00C57577">
        <w:rPr>
          <w:rFonts w:ascii="Sylfaen" w:hAnsi="Sylfaen"/>
          <w:szCs w:val="22"/>
          <w:lang w:val="ka-GE"/>
        </w:rPr>
        <w:t xml:space="preserve"> იქნება პლატფორმა, რომელიც </w:t>
      </w:r>
      <w:r w:rsidR="00D97A4F">
        <w:rPr>
          <w:rFonts w:ascii="Sylfaen" w:hAnsi="Sylfaen"/>
          <w:szCs w:val="22"/>
          <w:lang w:val="ka-GE"/>
        </w:rPr>
        <w:t>იმსჯელებს</w:t>
      </w:r>
      <w:r w:rsidR="00C57577">
        <w:rPr>
          <w:rFonts w:ascii="Sylfaen" w:hAnsi="Sylfaen"/>
          <w:szCs w:val="22"/>
          <w:lang w:val="ka-GE"/>
        </w:rPr>
        <w:t xml:space="preserve"> შენობების სექტორში ენერგოეფექტურობის </w:t>
      </w:r>
      <w:r w:rsidR="00D97A4F">
        <w:rPr>
          <w:rFonts w:ascii="Sylfaen" w:hAnsi="Sylfaen"/>
          <w:szCs w:val="22"/>
          <w:lang w:val="ka-GE"/>
        </w:rPr>
        <w:t>მიმართულებით უახლეს მიღწევებზე</w:t>
      </w:r>
      <w:r w:rsidR="00C57577">
        <w:rPr>
          <w:rFonts w:ascii="Sylfaen" w:hAnsi="Sylfaen"/>
          <w:szCs w:val="22"/>
          <w:lang w:val="ka-GE"/>
        </w:rPr>
        <w:t xml:space="preserve"> (მაგ: ბათუმის საუკეთესო გამოცდილება, შესაბამისი ცვლილებები რეგულაციებში და ასე შემდეგ) ეროვნულ სამუშაო ჯგუფს ხელმძღვანელობას გაუწევს საქართველოს ეკონომიკისა და მდგრადი სამინისტროს შემადგენლობაში არსებული ენერგოეფექტურობისა და ალტერნატიული ენერგიის განყოფილება.</w:t>
      </w:r>
    </w:p>
    <w:p w14:paraId="2932DF41" w14:textId="0F5CA94E" w:rsidR="00C57577" w:rsidRDefault="00C57577" w:rsidP="00C57577">
      <w:pPr>
        <w:ind w:right="2827"/>
        <w:rPr>
          <w:rFonts w:ascii="Sylfaen" w:hAnsi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 xml:space="preserve">გარდა ამისა, განმახორციელებელმა კონსულტანტმა უნდა უზრუნველყოს შენობების მომხმარებელთათვის და მენეჯმენტისათვის ტრენინგების ჩატარება </w:t>
      </w:r>
      <w:r w:rsidR="0061261B">
        <w:rPr>
          <w:rFonts w:ascii="Sylfaen" w:hAnsi="Sylfaen"/>
          <w:szCs w:val="22"/>
          <w:lang w:val="ka-GE"/>
        </w:rPr>
        <w:t>ენერგოეფექტურობასთან დაკავშირებული ქცევის,</w:t>
      </w:r>
      <w:r>
        <w:rPr>
          <w:rFonts w:ascii="Sylfaen" w:hAnsi="Sylfaen"/>
          <w:szCs w:val="22"/>
          <w:lang w:val="ka-GE"/>
        </w:rPr>
        <w:t xml:space="preserve"> </w:t>
      </w:r>
      <w:r w:rsidR="0061261B">
        <w:rPr>
          <w:rFonts w:ascii="Sylfaen" w:hAnsi="Sylfaen"/>
          <w:szCs w:val="22"/>
          <w:lang w:val="ka-GE"/>
        </w:rPr>
        <w:t>ტექნოლოგიებისა და</w:t>
      </w:r>
      <w:r>
        <w:rPr>
          <w:rFonts w:ascii="Sylfaen" w:hAnsi="Sylfaen"/>
          <w:szCs w:val="22"/>
          <w:lang w:val="ka-GE"/>
        </w:rPr>
        <w:t xml:space="preserve"> აღჭურვილობ</w:t>
      </w:r>
      <w:r w:rsidR="0061261B">
        <w:rPr>
          <w:rFonts w:ascii="Sylfaen" w:hAnsi="Sylfaen"/>
          <w:szCs w:val="22"/>
          <w:lang w:val="ka-GE"/>
        </w:rPr>
        <w:t>ის გამოყენების შესახებ.</w:t>
      </w:r>
    </w:p>
    <w:p w14:paraId="127706AA" w14:textId="495F9D03" w:rsidR="00C57577" w:rsidRDefault="00C57577" w:rsidP="00C57577">
      <w:pPr>
        <w:ind w:right="2827"/>
        <w:rPr>
          <w:rFonts w:ascii="Sylfaen" w:hAnsi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 xml:space="preserve">განმახორციელებელი კონსულტანტის გუნდი დაკომპლექტებული </w:t>
      </w:r>
      <w:r w:rsidR="00C8632D">
        <w:rPr>
          <w:rFonts w:ascii="Sylfaen" w:hAnsi="Sylfaen"/>
          <w:szCs w:val="22"/>
          <w:lang w:val="ka-GE"/>
        </w:rPr>
        <w:t xml:space="preserve">უნდა იქნეს </w:t>
      </w:r>
      <w:r>
        <w:rPr>
          <w:rFonts w:ascii="Sylfaen" w:hAnsi="Sylfaen"/>
          <w:szCs w:val="22"/>
          <w:lang w:val="ka-GE"/>
        </w:rPr>
        <w:t>საერთაშორისო და ადგილობრივი კონსულტანტებისაგან. საერთაშორისო კომპანიები დაინტერესებულები უნდა იყვნენ ადგილობრივ კომპანიებთან თანამშრომლობით.</w:t>
      </w:r>
    </w:p>
    <w:p w14:paraId="14A4A20D" w14:textId="4985782C" w:rsidR="00B8297B" w:rsidRPr="00B246E0" w:rsidRDefault="00A924B1" w:rsidP="00B8297B">
      <w:pPr>
        <w:ind w:right="2827"/>
        <w:rPr>
          <w:rFonts w:ascii="Sylfaen" w:hAnsi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 xml:space="preserve">წინასაკვალიფიკაციო კრიტერიუმები განმახორციელებელი კონსულტანტისათვის მოცემულია რეგულაციებში - „სახელმძღვანელო პრინციპები </w:t>
      </w:r>
      <w:r w:rsidR="00B246E0">
        <w:rPr>
          <w:rFonts w:ascii="Sylfaen" w:hAnsi="Sylfaen"/>
          <w:szCs w:val="22"/>
          <w:lang w:val="ka-GE"/>
        </w:rPr>
        <w:t>საკონსულტაციო მომსახურების, სამუშაოებისა და არასაკონსულტაციო მომსახურების შესყიდვისათვის პარტნიორი ქვეყნებში ფინანსური თანამშრომლობის ფარგლებში (იანვარი, 2019)</w:t>
      </w:r>
      <w:r>
        <w:rPr>
          <w:rFonts w:ascii="Sylfaen" w:hAnsi="Sylfaen"/>
          <w:szCs w:val="22"/>
          <w:lang w:val="ka-GE"/>
        </w:rPr>
        <w:t xml:space="preserve"> (</w:t>
      </w:r>
      <w:r w:rsidR="00B246E0">
        <w:rPr>
          <w:rFonts w:ascii="Sylfaen" w:hAnsi="Sylfaen"/>
          <w:szCs w:val="22"/>
          <w:lang w:val="ka-GE"/>
        </w:rPr>
        <w:t>იხილეთ</w:t>
      </w:r>
      <w:r>
        <w:rPr>
          <w:rFonts w:ascii="Sylfaen" w:hAnsi="Sylfaen"/>
          <w:szCs w:val="22"/>
          <w:lang w:val="ka-GE"/>
        </w:rPr>
        <w:t xml:space="preserve"> გერმანიის განვითარების ბანკის ვებ გვერდზე </w:t>
      </w:r>
      <w:hyperlink r:id="rId5" w:history="1">
        <w:r w:rsidR="00A20639" w:rsidRPr="00C62AC6">
          <w:rPr>
            <w:rStyle w:val="Hyperlink"/>
            <w:rFonts w:ascii="Sylfaen" w:hAnsi="Sylfaen"/>
            <w:lang w:val="en-GB"/>
          </w:rPr>
          <w:t>www.KfW-Entwicklungsbank.de</w:t>
        </w:r>
      </w:hyperlink>
      <w:r w:rsidR="00606D2C" w:rsidRPr="00C62AC6">
        <w:rPr>
          <w:rFonts w:ascii="Sylfaen" w:hAnsi="Sylfaen"/>
          <w:lang w:val="en-GB"/>
        </w:rPr>
        <w:t xml:space="preserve">). </w:t>
      </w:r>
    </w:p>
    <w:p w14:paraId="67FF2EC2" w14:textId="4521BF4E" w:rsidR="00A924B1" w:rsidRDefault="00A924B1" w:rsidP="00B8297B">
      <w:pPr>
        <w:ind w:right="282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მომსახურება მოწოდებული უნდა იქნეს დამოუკიდებელი საკონსულტაცო </w:t>
      </w:r>
      <w:r w:rsidR="00B246E0">
        <w:rPr>
          <w:rFonts w:ascii="Sylfaen" w:hAnsi="Sylfaen"/>
          <w:lang w:val="ka-GE"/>
        </w:rPr>
        <w:t>კომპანიის</w:t>
      </w:r>
      <w:r>
        <w:rPr>
          <w:rFonts w:ascii="Sylfaen" w:hAnsi="Sylfaen"/>
          <w:lang w:val="ka-GE"/>
        </w:rPr>
        <w:t xml:space="preserve"> მიერ</w:t>
      </w:r>
      <w:r w:rsidR="006C67F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B246E0">
        <w:rPr>
          <w:rFonts w:ascii="Sylfaen" w:hAnsi="Sylfaen"/>
          <w:lang w:val="ka-GE"/>
        </w:rPr>
        <w:t>რომელსაც</w:t>
      </w:r>
      <w:r>
        <w:rPr>
          <w:rFonts w:ascii="Sylfaen" w:hAnsi="Sylfaen"/>
          <w:lang w:val="ka-GE"/>
        </w:rPr>
        <w:t xml:space="preserve">  </w:t>
      </w:r>
      <w:r w:rsidR="00B246E0">
        <w:rPr>
          <w:rFonts w:ascii="Sylfaen" w:hAnsi="Sylfaen"/>
          <w:lang w:val="ka-GE"/>
        </w:rPr>
        <w:t xml:space="preserve">გააჩნია </w:t>
      </w:r>
      <w:r w:rsidR="00B246E0">
        <w:rPr>
          <w:rFonts w:ascii="Sylfaen" w:hAnsi="Sylfaen"/>
          <w:lang w:val="ka-GE"/>
        </w:rPr>
        <w:t>კავკასიის რეგიონში</w:t>
      </w:r>
      <w:r w:rsidR="00B246E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ენერგოეფექტურობის </w:t>
      </w:r>
      <w:r w:rsidR="00B246E0">
        <w:rPr>
          <w:rFonts w:ascii="Sylfaen" w:hAnsi="Sylfaen"/>
          <w:lang w:val="ka-GE"/>
        </w:rPr>
        <w:t>სექტორში მუშაობის</w:t>
      </w:r>
      <w:r>
        <w:rPr>
          <w:rFonts w:ascii="Sylfaen" w:hAnsi="Sylfaen"/>
          <w:lang w:val="ka-GE"/>
        </w:rPr>
        <w:t xml:space="preserve"> ფართო გამოცდილება</w:t>
      </w:r>
      <w:r w:rsidR="00B246E0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6C67F3">
        <w:rPr>
          <w:rFonts w:ascii="Sylfaen" w:hAnsi="Sylfaen"/>
          <w:lang w:val="ka-GE"/>
        </w:rPr>
        <w:t>საკონსულტაციო კომპანიის მინიმალური ბრუნვა ბოლო გასული სამი წლის განმავლობაში უნდა შეადგენდეს მინიმუმ 1 მილიონ ევროს.</w:t>
      </w:r>
      <w:bookmarkStart w:id="0" w:name="_GoBack"/>
      <w:bookmarkEnd w:id="0"/>
    </w:p>
    <w:p w14:paraId="52403AE0" w14:textId="14848E75" w:rsidR="00C85A04" w:rsidRPr="006C67F3" w:rsidRDefault="006C67F3" w:rsidP="00B8297B">
      <w:pPr>
        <w:ind w:right="2827"/>
        <w:rPr>
          <w:rFonts w:ascii="Sylfaen" w:hAnsi="Sylfaen"/>
          <w:szCs w:val="22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ინფორმაციისათვის, გთხოვთ მიმართოთ სატენდერო აგენტს</w:t>
      </w:r>
      <w:r w:rsidR="009A179F" w:rsidRPr="00C62AC6">
        <w:rPr>
          <w:rFonts w:ascii="Sylfaen" w:hAnsi="Sylfaen"/>
          <w:lang w:val="en-GB"/>
        </w:rPr>
        <w:t>: exficon GmbH, Frankfurt am Main (tender@exficon.de).</w:t>
      </w:r>
    </w:p>
    <w:p w14:paraId="051F8D41" w14:textId="5294AABD" w:rsidR="0070366C" w:rsidRPr="00C62AC6" w:rsidRDefault="005936F8">
      <w:pPr>
        <w:rPr>
          <w:rFonts w:ascii="Sylfaen" w:hAnsi="Sylfaen"/>
          <w:lang w:val="en-US"/>
        </w:rPr>
      </w:pPr>
      <w:r w:rsidRPr="00C62AC6">
        <w:rPr>
          <w:rFonts w:ascii="Sylfaen" w:hAnsi="Sylfaen"/>
          <w:lang w:val="en-US"/>
        </w:rPr>
        <w:t xml:space="preserve">  </w:t>
      </w:r>
    </w:p>
    <w:sectPr w:rsidR="0070366C" w:rsidRPr="00C62AC6" w:rsidSect="006F4256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40F4"/>
    <w:multiLevelType w:val="hybridMultilevel"/>
    <w:tmpl w:val="126AC4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0019D"/>
    <w:multiLevelType w:val="hybridMultilevel"/>
    <w:tmpl w:val="CFA8F88C"/>
    <w:lvl w:ilvl="0" w:tplc="0900AE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A7A1B"/>
    <w:multiLevelType w:val="hybridMultilevel"/>
    <w:tmpl w:val="523AE63E"/>
    <w:lvl w:ilvl="0" w:tplc="52E6D38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F832A6"/>
    <w:multiLevelType w:val="hybridMultilevel"/>
    <w:tmpl w:val="A538F0F6"/>
    <w:lvl w:ilvl="0" w:tplc="8FDEB6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73D1C"/>
    <w:multiLevelType w:val="hybridMultilevel"/>
    <w:tmpl w:val="4D9A9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6703A"/>
    <w:multiLevelType w:val="hybridMultilevel"/>
    <w:tmpl w:val="7A94F5F8"/>
    <w:lvl w:ilvl="0" w:tplc="52E6D380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E41B84"/>
    <w:multiLevelType w:val="hybridMultilevel"/>
    <w:tmpl w:val="C34A7B5A"/>
    <w:lvl w:ilvl="0" w:tplc="2B62ABDC">
      <w:start w:val="1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D10E7"/>
    <w:multiLevelType w:val="hybridMultilevel"/>
    <w:tmpl w:val="CD4A402C"/>
    <w:lvl w:ilvl="0" w:tplc="F6C812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wMjQ3MjU0NzC2tDRX0lEKTi0uzszPAykwrAUAYlUOSSwAAAA="/>
  </w:docVars>
  <w:rsids>
    <w:rsidRoot w:val="006F4256"/>
    <w:rsid w:val="000102E2"/>
    <w:rsid w:val="000139BF"/>
    <w:rsid w:val="00040766"/>
    <w:rsid w:val="0005078B"/>
    <w:rsid w:val="000826A6"/>
    <w:rsid w:val="00082821"/>
    <w:rsid w:val="00092DF6"/>
    <w:rsid w:val="000965AB"/>
    <w:rsid w:val="000A2B9A"/>
    <w:rsid w:val="000C7AA4"/>
    <w:rsid w:val="000D30AF"/>
    <w:rsid w:val="000E5C8D"/>
    <w:rsid w:val="000E6531"/>
    <w:rsid w:val="000E72E0"/>
    <w:rsid w:val="000F7B3D"/>
    <w:rsid w:val="00161423"/>
    <w:rsid w:val="001C383D"/>
    <w:rsid w:val="001D7BF7"/>
    <w:rsid w:val="001E15B7"/>
    <w:rsid w:val="002139BD"/>
    <w:rsid w:val="0021441C"/>
    <w:rsid w:val="002179A8"/>
    <w:rsid w:val="00256D26"/>
    <w:rsid w:val="002628A1"/>
    <w:rsid w:val="00277E7A"/>
    <w:rsid w:val="002A283D"/>
    <w:rsid w:val="002A3B3C"/>
    <w:rsid w:val="002D53E2"/>
    <w:rsid w:val="002E5D91"/>
    <w:rsid w:val="00301BB9"/>
    <w:rsid w:val="00313817"/>
    <w:rsid w:val="00323BFD"/>
    <w:rsid w:val="00324B74"/>
    <w:rsid w:val="00352672"/>
    <w:rsid w:val="003672D4"/>
    <w:rsid w:val="003935EA"/>
    <w:rsid w:val="003B2A71"/>
    <w:rsid w:val="003B6289"/>
    <w:rsid w:val="003D7C4A"/>
    <w:rsid w:val="003E39E3"/>
    <w:rsid w:val="00404549"/>
    <w:rsid w:val="00414FA4"/>
    <w:rsid w:val="004224E7"/>
    <w:rsid w:val="00440098"/>
    <w:rsid w:val="004478DF"/>
    <w:rsid w:val="00471E3F"/>
    <w:rsid w:val="004744B6"/>
    <w:rsid w:val="004A3852"/>
    <w:rsid w:val="004C2F57"/>
    <w:rsid w:val="004D4078"/>
    <w:rsid w:val="004E5E85"/>
    <w:rsid w:val="00541B15"/>
    <w:rsid w:val="00551AAC"/>
    <w:rsid w:val="00553CCE"/>
    <w:rsid w:val="005559C1"/>
    <w:rsid w:val="00556C61"/>
    <w:rsid w:val="00560736"/>
    <w:rsid w:val="00563CAA"/>
    <w:rsid w:val="005936F8"/>
    <w:rsid w:val="00597C60"/>
    <w:rsid w:val="005A214D"/>
    <w:rsid w:val="006017A7"/>
    <w:rsid w:val="00606D2C"/>
    <w:rsid w:val="0061046C"/>
    <w:rsid w:val="0061261B"/>
    <w:rsid w:val="00627AB2"/>
    <w:rsid w:val="006A7E83"/>
    <w:rsid w:val="006C156B"/>
    <w:rsid w:val="006C3B4C"/>
    <w:rsid w:val="006C67F3"/>
    <w:rsid w:val="006E2B34"/>
    <w:rsid w:val="006F4256"/>
    <w:rsid w:val="0070366C"/>
    <w:rsid w:val="007073DC"/>
    <w:rsid w:val="00713472"/>
    <w:rsid w:val="007367FB"/>
    <w:rsid w:val="00745BFC"/>
    <w:rsid w:val="00766FB4"/>
    <w:rsid w:val="0077385F"/>
    <w:rsid w:val="007945A9"/>
    <w:rsid w:val="007B0104"/>
    <w:rsid w:val="007E0C44"/>
    <w:rsid w:val="007E544C"/>
    <w:rsid w:val="007F08AC"/>
    <w:rsid w:val="007F16CC"/>
    <w:rsid w:val="00804CB3"/>
    <w:rsid w:val="0082628A"/>
    <w:rsid w:val="00826B9C"/>
    <w:rsid w:val="00834135"/>
    <w:rsid w:val="008811A9"/>
    <w:rsid w:val="008862F9"/>
    <w:rsid w:val="00896267"/>
    <w:rsid w:val="008B5D6E"/>
    <w:rsid w:val="008B6491"/>
    <w:rsid w:val="008D6C93"/>
    <w:rsid w:val="009112F9"/>
    <w:rsid w:val="0091538C"/>
    <w:rsid w:val="00937274"/>
    <w:rsid w:val="00957DDD"/>
    <w:rsid w:val="009722D3"/>
    <w:rsid w:val="0098118B"/>
    <w:rsid w:val="009A179F"/>
    <w:rsid w:val="009B0BAD"/>
    <w:rsid w:val="009D10C6"/>
    <w:rsid w:val="00A20639"/>
    <w:rsid w:val="00A62BE3"/>
    <w:rsid w:val="00A7220B"/>
    <w:rsid w:val="00A77C72"/>
    <w:rsid w:val="00A849F4"/>
    <w:rsid w:val="00A878D6"/>
    <w:rsid w:val="00A87BCA"/>
    <w:rsid w:val="00A91A89"/>
    <w:rsid w:val="00A924B1"/>
    <w:rsid w:val="00AC29A4"/>
    <w:rsid w:val="00AC34D8"/>
    <w:rsid w:val="00B246E0"/>
    <w:rsid w:val="00B247F3"/>
    <w:rsid w:val="00B24F93"/>
    <w:rsid w:val="00B255F1"/>
    <w:rsid w:val="00B56419"/>
    <w:rsid w:val="00B6203C"/>
    <w:rsid w:val="00B8297B"/>
    <w:rsid w:val="00B85340"/>
    <w:rsid w:val="00BA7C90"/>
    <w:rsid w:val="00BD65CE"/>
    <w:rsid w:val="00BF629F"/>
    <w:rsid w:val="00C01323"/>
    <w:rsid w:val="00C24354"/>
    <w:rsid w:val="00C57577"/>
    <w:rsid w:val="00C62AC6"/>
    <w:rsid w:val="00C85A04"/>
    <w:rsid w:val="00C8632D"/>
    <w:rsid w:val="00C9186B"/>
    <w:rsid w:val="00C93454"/>
    <w:rsid w:val="00C945E2"/>
    <w:rsid w:val="00CD5C3C"/>
    <w:rsid w:val="00CE3754"/>
    <w:rsid w:val="00D01799"/>
    <w:rsid w:val="00D22DF5"/>
    <w:rsid w:val="00D41214"/>
    <w:rsid w:val="00D5470B"/>
    <w:rsid w:val="00D56513"/>
    <w:rsid w:val="00D8608E"/>
    <w:rsid w:val="00D9153F"/>
    <w:rsid w:val="00D97A4F"/>
    <w:rsid w:val="00DA1070"/>
    <w:rsid w:val="00DA213F"/>
    <w:rsid w:val="00DD77B5"/>
    <w:rsid w:val="00DF3038"/>
    <w:rsid w:val="00E108A3"/>
    <w:rsid w:val="00E37708"/>
    <w:rsid w:val="00E5123E"/>
    <w:rsid w:val="00E745DC"/>
    <w:rsid w:val="00E80B4D"/>
    <w:rsid w:val="00EC5840"/>
    <w:rsid w:val="00EE4714"/>
    <w:rsid w:val="00EF24D8"/>
    <w:rsid w:val="00EF4E9D"/>
    <w:rsid w:val="00F30FEA"/>
    <w:rsid w:val="00F755C7"/>
    <w:rsid w:val="00F75753"/>
    <w:rsid w:val="00F83D32"/>
    <w:rsid w:val="00FA2AE8"/>
    <w:rsid w:val="00FC2D6A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81FCD"/>
  <w14:defaultImageDpi w14:val="330"/>
  <w15:docId w15:val="{4FD6C550-7B1C-4BE5-A3BC-5576D2E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56"/>
    <w:pPr>
      <w:spacing w:before="120" w:after="120" w:line="320" w:lineRule="atLeast"/>
      <w:jc w:val="both"/>
    </w:pPr>
    <w:rPr>
      <w:rFonts w:ascii="Arial" w:eastAsia="MS ??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4256"/>
    <w:pPr>
      <w:jc w:val="both"/>
    </w:pPr>
    <w:rPr>
      <w:rFonts w:ascii="Arial" w:eastAsia="MS ??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606D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0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4D"/>
    <w:rPr>
      <w:rFonts w:ascii="Arial" w:eastAsia="MS ??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4D"/>
    <w:rPr>
      <w:rFonts w:ascii="Arial" w:eastAsia="MS ??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4D"/>
    <w:rPr>
      <w:rFonts w:ascii="Tahoma" w:eastAsia="MS ??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DDD"/>
    <w:pPr>
      <w:ind w:left="720"/>
      <w:contextualSpacing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D53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fW-Entwicklungsban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KfW Bankengruppe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Hartig</dc:creator>
  <cp:lastModifiedBy>Eter Lomadze</cp:lastModifiedBy>
  <cp:revision>13</cp:revision>
  <cp:lastPrinted>2017-07-06T14:02:00Z</cp:lastPrinted>
  <dcterms:created xsi:type="dcterms:W3CDTF">2018-10-22T12:59:00Z</dcterms:created>
  <dcterms:modified xsi:type="dcterms:W3CDTF">2019-01-30T11:31:00Z</dcterms:modified>
</cp:coreProperties>
</file>